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i w:val="0"/>
          <w:iCs w:val="0"/>
          <w:caps w:val="0"/>
          <w:color w:val="000000"/>
          <w:spacing w:val="0"/>
          <w:sz w:val="44"/>
          <w:szCs w:val="44"/>
        </w:rPr>
      </w:pPr>
    </w:p>
    <w:p>
      <w:pPr>
        <w:jc w:val="center"/>
        <w:rPr>
          <w:rFonts w:hint="eastAsia" w:ascii="方正小标宋_GBK" w:hAnsi="方正小标宋_GBK" w:eastAsia="方正小标宋_GBK" w:cs="方正小标宋_GBK"/>
          <w:i w:val="0"/>
          <w:iCs w:val="0"/>
          <w:caps w:val="0"/>
          <w:color w:val="000000"/>
          <w:spacing w:val="0"/>
          <w:sz w:val="44"/>
          <w:szCs w:val="44"/>
        </w:rPr>
      </w:pPr>
    </w:p>
    <w:p>
      <w:pPr>
        <w:jc w:val="center"/>
        <w:rPr>
          <w:rFonts w:hint="eastAsia"/>
        </w:rPr>
      </w:pPr>
      <w:bookmarkStart w:id="0" w:name="_GoBack"/>
      <w:bookmarkEnd w:id="0"/>
      <w:r>
        <w:rPr>
          <w:rFonts w:hint="eastAsia" w:ascii="方正小标宋_GBK" w:hAnsi="方正小标宋_GBK" w:eastAsia="方正小标宋_GBK" w:cs="方正小标宋_GBK"/>
          <w:i w:val="0"/>
          <w:iCs w:val="0"/>
          <w:caps w:val="0"/>
          <w:color w:val="000000"/>
          <w:spacing w:val="0"/>
          <w:sz w:val="44"/>
          <w:szCs w:val="44"/>
        </w:rPr>
        <w:t>重庆市人民政府令第　358　号</w:t>
      </w:r>
    </w:p>
    <w:p>
      <w:pPr>
        <w:rPr>
          <w:rFonts w:hint="eastAsia"/>
        </w:rPr>
      </w:pPr>
    </w:p>
    <w:p>
      <w:pPr>
        <w:ind w:firstLine="640" w:firstLineChars="200"/>
        <w:rPr>
          <w:rFonts w:hint="eastAsia"/>
        </w:rPr>
      </w:pPr>
      <w:r>
        <w:rPr>
          <w:rFonts w:hint="eastAsia"/>
        </w:rPr>
        <w:t>《重庆市三峡水库消落区管理办法》已经2022年12月27日市第五届人民政府第197次常务会议审议通过，现予公布，自2023年5月1日起施行。</w:t>
      </w:r>
    </w:p>
    <w:p>
      <w:pPr>
        <w:rPr>
          <w:rFonts w:hint="eastAsia"/>
        </w:rPr>
      </w:pPr>
    </w:p>
    <w:p>
      <w:pPr>
        <w:rPr>
          <w:rFonts w:hint="eastAsia"/>
        </w:rPr>
      </w:pPr>
    </w:p>
    <w:p>
      <w:pPr>
        <w:snapToGrid w:val="0"/>
        <w:spacing w:line="100" w:lineRule="exact"/>
      </w:pPr>
    </w:p>
    <w:p>
      <w:pPr>
        <w:tabs>
          <w:tab w:val="left" w:pos="7489"/>
        </w:tabs>
        <w:wordWrap w:val="0"/>
        <w:ind w:firstLine="3059" w:firstLineChars="956"/>
        <w:jc w:val="right"/>
        <w:rPr>
          <w:rFonts w:hint="default"/>
          <w:lang w:val="en-US" w:eastAsia="zh-CN"/>
        </w:rPr>
      </w:pPr>
      <w:r>
        <w:rPr>
          <w:rFonts w:hint="eastAsia"/>
        </w:rPr>
        <w:t xml:space="preserve">市  长  </w:t>
      </w:r>
      <w:r>
        <w:rPr>
          <w:rFonts w:hint="eastAsia"/>
          <w:lang w:val="en-US" w:eastAsia="zh-CN"/>
        </w:rPr>
        <w:t xml:space="preserve">胡衡华    </w:t>
      </w:r>
    </w:p>
    <w:p>
      <w:pPr>
        <w:tabs>
          <w:tab w:val="left" w:pos="7489"/>
        </w:tabs>
        <w:wordWrap w:val="0"/>
        <w:ind w:firstLine="3059" w:firstLineChars="956"/>
        <w:jc w:val="right"/>
        <w:rPr>
          <w:rFonts w:hint="default"/>
          <w:lang w:val="en-US" w:eastAsia="zh-CN"/>
        </w:rPr>
      </w:pPr>
      <w:r>
        <w:rPr>
          <w:rFonts w:hint="eastAsia"/>
        </w:rPr>
        <w:t>2023年2月11日</w:t>
      </w:r>
      <w:r>
        <w:rPr>
          <w:rFonts w:hint="eastAsia"/>
          <w:lang w:val="en-US" w:eastAsia="zh-CN"/>
        </w:rPr>
        <w:t xml:space="preserve">   </w:t>
      </w:r>
    </w:p>
    <w:p>
      <w:pPr>
        <w:tabs>
          <w:tab w:val="left" w:pos="7489"/>
        </w:tabs>
        <w:wordWrap w:val="0"/>
        <w:ind w:firstLine="3059" w:firstLineChars="956"/>
        <w:jc w:val="right"/>
        <w:rPr>
          <w:rFonts w:hint="default" w:eastAsia="方正仿宋_GBK"/>
          <w:lang w:val="en-US" w:eastAsia="zh-CN"/>
        </w:rPr>
      </w:pPr>
      <w:r>
        <w:rPr>
          <w:rFonts w:hint="eastAsia"/>
          <w:lang w:val="en-US" w:eastAsia="zh-CN"/>
        </w:rPr>
        <w:t xml:space="preserve"> </w:t>
      </w:r>
    </w:p>
    <w:p>
      <w:pPr>
        <w:ind w:firstLine="640" w:firstLineChars="200"/>
        <w:rPr>
          <w:rFonts w:hint="eastAsia"/>
        </w:rPr>
      </w:pPr>
      <w:r>
        <w:rPr>
          <w:rFonts w:hint="eastAsia"/>
        </w:rPr>
        <w:t>（此件公开发布）</w:t>
      </w:r>
    </w:p>
    <w:p>
      <w:pPr>
        <w:ind w:firstLine="640" w:firstLineChars="200"/>
      </w:pPr>
      <w:r>
        <w:br w:type="page"/>
      </w:r>
    </w:p>
    <w:p>
      <w:pPr>
        <w:ind w:firstLine="640" w:firstLineChars="200"/>
      </w:pPr>
    </w:p>
    <w:p>
      <w:pPr>
        <w:spacing w:line="590" w:lineRule="exact"/>
        <w:jc w:val="center"/>
        <w:rPr>
          <w:rFonts w:hint="eastAsia" w:eastAsia="方正小标宋_GBK"/>
          <w:sz w:val="44"/>
          <w:szCs w:val="44"/>
        </w:rPr>
      </w:pPr>
      <w:r>
        <w:rPr>
          <w:rFonts w:hint="eastAsia" w:eastAsia="方正小标宋_GBK"/>
          <w:sz w:val="44"/>
          <w:szCs w:val="44"/>
        </w:rPr>
        <w:t>重庆市三峡水库消落区管理办法</w:t>
      </w:r>
    </w:p>
    <w:p>
      <w:pPr>
        <w:ind w:firstLine="640" w:firstLineChars="200"/>
      </w:pPr>
    </w:p>
    <w:p>
      <w:pPr>
        <w:ind w:firstLine="640" w:firstLineChars="200"/>
        <w:rPr>
          <w:rFonts w:hint="eastAsia"/>
        </w:rPr>
      </w:pPr>
      <w:r>
        <w:rPr>
          <w:rFonts w:hint="eastAsia" w:eastAsia="方正黑体_GBK"/>
        </w:rPr>
        <w:t>第一条</w:t>
      </w:r>
      <w:r>
        <w:rPr>
          <w:rFonts w:hint="eastAsia"/>
        </w:rPr>
        <w:t xml:space="preserve">  为了加强本市三峡水库消落区（以下简称消落区）管理，保护和修复消落区生态环境，保障消落区良好生态功能，促进人与自然和谐共生，根据《中华人民共和国长江保护法》等法律、法规，结合本市实际，制定本办法。</w:t>
      </w:r>
    </w:p>
    <w:p>
      <w:pPr>
        <w:ind w:firstLine="640" w:firstLineChars="200"/>
        <w:rPr>
          <w:rFonts w:hint="eastAsia"/>
        </w:rPr>
      </w:pPr>
      <w:r>
        <w:rPr>
          <w:rFonts w:hint="eastAsia" w:eastAsia="方正黑体_GBK"/>
        </w:rPr>
        <w:t>第二条</w:t>
      </w:r>
      <w:r>
        <w:rPr>
          <w:rFonts w:hint="eastAsia"/>
        </w:rPr>
        <w:t xml:space="preserve">  本市行政区域内消落区的保护、规划、利用、治理等管理活动，适用本办法。</w:t>
      </w:r>
    </w:p>
    <w:p>
      <w:pPr>
        <w:ind w:firstLine="640" w:firstLineChars="200"/>
        <w:rPr>
          <w:rFonts w:hint="eastAsia"/>
        </w:rPr>
      </w:pPr>
      <w:r>
        <w:rPr>
          <w:rFonts w:hint="eastAsia"/>
        </w:rPr>
        <w:t>法律、法规、规章另有规定的，适用其规定。</w:t>
      </w:r>
    </w:p>
    <w:p>
      <w:pPr>
        <w:ind w:firstLine="640" w:firstLineChars="200"/>
        <w:rPr>
          <w:rFonts w:hint="eastAsia"/>
        </w:rPr>
      </w:pPr>
      <w:r>
        <w:rPr>
          <w:rFonts w:hint="eastAsia" w:eastAsia="方正黑体_GBK"/>
        </w:rPr>
        <w:t>第三条</w:t>
      </w:r>
      <w:r>
        <w:rPr>
          <w:rFonts w:hint="eastAsia"/>
        </w:rPr>
        <w:t xml:space="preserve">  本办法所称消落区，是指三峡水库正常蓄水位175米的库区土地征用线以下，因水库调度运用导致库区临时性出露的陆地。</w:t>
      </w:r>
    </w:p>
    <w:p>
      <w:pPr>
        <w:ind w:firstLine="640" w:firstLineChars="200"/>
        <w:rPr>
          <w:rFonts w:hint="eastAsia"/>
        </w:rPr>
      </w:pPr>
      <w:r>
        <w:rPr>
          <w:rFonts w:hint="eastAsia"/>
        </w:rPr>
        <w:t>本办法所称消落区所涉区县（自治县），包括巫山县、巫溪县、奉节县、云阳县、万州区、开州区、忠县、石柱土家族自治县、丰都县、涪陵区、武隆区、长寿区、渝北区、巴南区、江津区、江北区、南岸区、渝中区、大渡口区、九龙坡区、沙坪坝区、北碚区等区县（自治县）。</w:t>
      </w:r>
    </w:p>
    <w:p>
      <w:pPr>
        <w:ind w:firstLine="640" w:firstLineChars="200"/>
        <w:rPr>
          <w:rFonts w:hint="eastAsia"/>
        </w:rPr>
      </w:pPr>
      <w:r>
        <w:rPr>
          <w:rFonts w:hint="eastAsia" w:eastAsia="方正黑体_GBK"/>
        </w:rPr>
        <w:t>第四条</w:t>
      </w:r>
      <w:r>
        <w:rPr>
          <w:rFonts w:hint="eastAsia"/>
        </w:rPr>
        <w:t xml:space="preserve">  消落区的管理坚持保护优先、科学规划、合理利用、系统治理以及服从三峡水库调度的原则。</w:t>
      </w:r>
    </w:p>
    <w:p>
      <w:pPr>
        <w:ind w:firstLine="640" w:firstLineChars="200"/>
        <w:rPr>
          <w:rFonts w:hint="eastAsia"/>
        </w:rPr>
      </w:pPr>
      <w:r>
        <w:rPr>
          <w:rFonts w:hint="eastAsia" w:eastAsia="方正黑体_GBK"/>
        </w:rPr>
        <w:t xml:space="preserve">第五条 </w:t>
      </w:r>
      <w:r>
        <w:rPr>
          <w:rFonts w:hint="eastAsia"/>
        </w:rPr>
        <w:t xml:space="preserve"> 市、消落区所涉区县（自治县）人民政府应当将消落区的管理作为长江保护工作的重要内容，纳入国民经济和社会发展规划以及河长职责范围，编制、实施消落区综合治理实施方案，将相关工作经费纳入财政预算。</w:t>
      </w:r>
    </w:p>
    <w:p>
      <w:pPr>
        <w:ind w:firstLine="640" w:firstLineChars="200"/>
        <w:rPr>
          <w:rFonts w:hint="eastAsia"/>
        </w:rPr>
      </w:pPr>
      <w:r>
        <w:rPr>
          <w:rFonts w:hint="eastAsia"/>
        </w:rPr>
        <w:t>消落区所涉乡镇人民政府、街道办事处应当加强本辖区内消落区的日常管护工作。</w:t>
      </w:r>
    </w:p>
    <w:p>
      <w:pPr>
        <w:ind w:firstLine="640" w:firstLineChars="200"/>
        <w:rPr>
          <w:rFonts w:hint="eastAsia"/>
        </w:rPr>
      </w:pPr>
      <w:r>
        <w:rPr>
          <w:rFonts w:hint="eastAsia" w:eastAsia="方正黑体_GBK"/>
        </w:rPr>
        <w:t>第六条</w:t>
      </w:r>
      <w:r>
        <w:rPr>
          <w:rFonts w:hint="eastAsia"/>
        </w:rPr>
        <w:t xml:space="preserve">  水行政主管部门是消落区的主管机关。市水行政主管部门负责消落区的综合管理与协调，组织制定相关制度，开展科学研究，指导、监督消落区所涉区县（自治县）水行政主管部门做好消落区的管理工作。消落区所涉区县（自治县）水行政主管部门负责本行政区域内消落区的具体管理工作，组织实施消落区的保护、修复和治理项目。</w:t>
      </w:r>
    </w:p>
    <w:p>
      <w:pPr>
        <w:ind w:firstLine="640" w:firstLineChars="200"/>
        <w:rPr>
          <w:rFonts w:hint="eastAsia"/>
        </w:rPr>
      </w:pPr>
      <w:r>
        <w:rPr>
          <w:rFonts w:hint="eastAsia"/>
        </w:rPr>
        <w:t xml:space="preserve">规划自然资源、生态环境、城市管理、交通、农业农村、文化旅游、卫生健康、林业、地震等有关部门按照各自职责负责消落区相关管理工作。 </w:t>
      </w:r>
    </w:p>
    <w:p>
      <w:pPr>
        <w:ind w:firstLine="640" w:firstLineChars="200"/>
        <w:rPr>
          <w:rFonts w:hint="eastAsia"/>
        </w:rPr>
      </w:pPr>
      <w:r>
        <w:rPr>
          <w:rFonts w:hint="eastAsia" w:eastAsia="方正黑体_GBK"/>
        </w:rPr>
        <w:t>第七条</w:t>
      </w:r>
      <w:r>
        <w:rPr>
          <w:rFonts w:hint="eastAsia"/>
        </w:rPr>
        <w:t xml:space="preserve">  鼓励高等院校和科研机构开展消落区地质结构、水土保持和生态修复等方面的科学研究、学术交流和成果推介。</w:t>
      </w:r>
    </w:p>
    <w:p>
      <w:pPr>
        <w:ind w:firstLine="640" w:firstLineChars="200"/>
        <w:rPr>
          <w:rFonts w:hint="eastAsia"/>
        </w:rPr>
      </w:pPr>
      <w:r>
        <w:rPr>
          <w:rFonts w:hint="eastAsia"/>
        </w:rPr>
        <w:t>鼓励村（居）民委员会将消落区的管理纳入村规民约或者居民公约，参与消落区的管理。</w:t>
      </w:r>
    </w:p>
    <w:p>
      <w:pPr>
        <w:ind w:firstLine="640" w:firstLineChars="200"/>
        <w:rPr>
          <w:rFonts w:hint="eastAsia"/>
        </w:rPr>
      </w:pPr>
      <w:r>
        <w:rPr>
          <w:rFonts w:hint="eastAsia"/>
        </w:rPr>
        <w:t>鼓励单位和个人依法通过捐赠、资助、志愿服务等方式，参与消落区生态环境的保护、修复和治理。</w:t>
      </w:r>
    </w:p>
    <w:p>
      <w:pPr>
        <w:ind w:firstLine="640" w:firstLineChars="200"/>
        <w:rPr>
          <w:rFonts w:hint="eastAsia"/>
        </w:rPr>
      </w:pPr>
      <w:r>
        <w:rPr>
          <w:rFonts w:hint="eastAsia" w:eastAsia="方正黑体_GBK"/>
        </w:rPr>
        <w:t>第八条</w:t>
      </w:r>
      <w:r>
        <w:rPr>
          <w:rFonts w:hint="eastAsia"/>
        </w:rPr>
        <w:t xml:space="preserve">  消落区所涉区县（自治县）水行政主管部门应当通过设立勘界牌、标识牌、宣传牌等方式加强宣传，提升社会公众对消落区的保护意识。</w:t>
      </w:r>
    </w:p>
    <w:p>
      <w:pPr>
        <w:ind w:firstLine="640" w:firstLineChars="200"/>
        <w:rPr>
          <w:rFonts w:hint="eastAsia"/>
        </w:rPr>
      </w:pPr>
      <w:r>
        <w:rPr>
          <w:rFonts w:hint="eastAsia"/>
        </w:rPr>
        <w:t>对在消落区管理工作中做出突出贡献的单位和个人，按照有关规定予以表彰和奖励。</w:t>
      </w:r>
    </w:p>
    <w:p>
      <w:pPr>
        <w:ind w:firstLine="640" w:firstLineChars="200"/>
        <w:rPr>
          <w:rFonts w:hint="eastAsia"/>
        </w:rPr>
      </w:pPr>
      <w:r>
        <w:rPr>
          <w:rFonts w:hint="eastAsia" w:eastAsia="方正黑体_GBK"/>
        </w:rPr>
        <w:t xml:space="preserve">第九条 </w:t>
      </w:r>
      <w:r>
        <w:rPr>
          <w:rFonts w:hint="eastAsia"/>
        </w:rPr>
        <w:t xml:space="preserve"> 消落区综合治理实施方案应当与长江流域生态环境修复规划以及国家、本市相关保护和发展规划相衔接，与库区生态保护红线的划定相协调，注重区县协同、省际协同。</w:t>
      </w:r>
    </w:p>
    <w:p>
      <w:pPr>
        <w:ind w:firstLine="640" w:firstLineChars="200"/>
        <w:rPr>
          <w:rFonts w:hint="eastAsia"/>
        </w:rPr>
      </w:pPr>
      <w:r>
        <w:rPr>
          <w:rFonts w:hint="eastAsia"/>
        </w:rPr>
        <w:t>消落区所涉区县（自治县）人民政府编制的消落区综合治理实施方案应当报送市人民政府备案，相关材料径送市水行政主管部门。</w:t>
      </w:r>
    </w:p>
    <w:p>
      <w:pPr>
        <w:ind w:firstLine="640" w:firstLineChars="200"/>
        <w:rPr>
          <w:rFonts w:hint="eastAsia"/>
        </w:rPr>
      </w:pPr>
      <w:r>
        <w:rPr>
          <w:rFonts w:hint="eastAsia" w:eastAsia="方正黑体_GBK"/>
        </w:rPr>
        <w:t>第十条</w:t>
      </w:r>
      <w:r>
        <w:rPr>
          <w:rFonts w:hint="eastAsia"/>
        </w:rPr>
        <w:t xml:space="preserve">  消落区实行分区管理，划分为保留保护区、生态修复区和工程治理区。</w:t>
      </w:r>
    </w:p>
    <w:p>
      <w:pPr>
        <w:ind w:firstLine="640" w:firstLineChars="200"/>
        <w:rPr>
          <w:rFonts w:hint="eastAsia"/>
        </w:rPr>
      </w:pPr>
      <w:r>
        <w:rPr>
          <w:rFonts w:hint="eastAsia"/>
        </w:rPr>
        <w:t>消落区所涉区县（自治县）人民政府应当因地制宜，根据消落区地形区位特点、生态环境特征和保护治理需求，遵循自然演变规律，兼顾干流和支流，合理分区、精准施策，既保护和恢复消落区生态环境，又保障人居环境安全和库岸稳定。</w:t>
      </w:r>
    </w:p>
    <w:p>
      <w:pPr>
        <w:ind w:firstLine="640" w:firstLineChars="200"/>
        <w:rPr>
          <w:rFonts w:hint="eastAsia"/>
        </w:rPr>
      </w:pPr>
      <w:r>
        <w:rPr>
          <w:rFonts w:hint="eastAsia" w:eastAsia="方正黑体_GBK"/>
        </w:rPr>
        <w:t>第十一条</w:t>
      </w:r>
      <w:r>
        <w:rPr>
          <w:rFonts w:hint="eastAsia"/>
        </w:rPr>
        <w:t xml:space="preserve">  山高坡陡、岩石裸露、人烟稀少的消落区，以及重要生物生境、饮用水源保护地等重要区域的消落区，作为保留保护区。</w:t>
      </w:r>
    </w:p>
    <w:p>
      <w:pPr>
        <w:ind w:firstLine="640" w:firstLineChars="200"/>
        <w:rPr>
          <w:rFonts w:hint="eastAsia"/>
        </w:rPr>
      </w:pPr>
      <w:r>
        <w:rPr>
          <w:rFonts w:hint="eastAsia"/>
        </w:rPr>
        <w:t>保留保护区内，应当减少和避免人类活动的干扰和影响，促进自然发育，保护生态系统要素，维护生态系统结构和功能。</w:t>
      </w:r>
    </w:p>
    <w:p>
      <w:pPr>
        <w:ind w:firstLine="640" w:firstLineChars="200"/>
        <w:rPr>
          <w:rFonts w:hint="eastAsia"/>
        </w:rPr>
      </w:pPr>
      <w:r>
        <w:rPr>
          <w:rFonts w:hint="eastAsia" w:eastAsia="方正黑体_GBK"/>
        </w:rPr>
        <w:t>第十二条</w:t>
      </w:r>
      <w:r>
        <w:rPr>
          <w:rFonts w:hint="eastAsia"/>
        </w:rPr>
        <w:t xml:space="preserve">  城集镇、重要旅游风景区和人口密集的农村居民点周边的消落区，作为生态修复区。</w:t>
      </w:r>
    </w:p>
    <w:p>
      <w:pPr>
        <w:ind w:firstLine="640" w:firstLineChars="200"/>
        <w:rPr>
          <w:rFonts w:hint="eastAsia"/>
        </w:rPr>
      </w:pPr>
      <w:r>
        <w:rPr>
          <w:rFonts w:hint="eastAsia"/>
        </w:rPr>
        <w:t>生态修复区内，采取封滩育草、水生生境构建等生态措施，修复消落区生态环境。</w:t>
      </w:r>
    </w:p>
    <w:p>
      <w:pPr>
        <w:ind w:firstLine="640" w:firstLineChars="200"/>
        <w:rPr>
          <w:rFonts w:hint="eastAsia"/>
        </w:rPr>
      </w:pPr>
      <w:r>
        <w:rPr>
          <w:rFonts w:hint="eastAsia" w:eastAsia="方正黑体_GBK"/>
        </w:rPr>
        <w:t>第十三条</w:t>
      </w:r>
      <w:r>
        <w:rPr>
          <w:rFonts w:hint="eastAsia"/>
        </w:rPr>
        <w:t xml:space="preserve">  库岸稳定性差、易发地质灾害的消落区，作为工程治理区。</w:t>
      </w:r>
    </w:p>
    <w:p>
      <w:pPr>
        <w:ind w:firstLine="640" w:firstLineChars="200"/>
        <w:rPr>
          <w:rFonts w:hint="eastAsia"/>
        </w:rPr>
      </w:pPr>
      <w:r>
        <w:rPr>
          <w:rFonts w:hint="eastAsia"/>
        </w:rPr>
        <w:t>工程治理区内，采取生态护坡、库岸防护、环境综合整治等生态与工程治理相结合的措施，改善消落区生态环境，增强地质灾害防御能力。</w:t>
      </w:r>
    </w:p>
    <w:p>
      <w:pPr>
        <w:ind w:firstLine="640" w:firstLineChars="200"/>
        <w:rPr>
          <w:rFonts w:hint="eastAsia"/>
        </w:rPr>
      </w:pPr>
      <w:r>
        <w:rPr>
          <w:rFonts w:hint="eastAsia" w:eastAsia="方正黑体_GBK"/>
        </w:rPr>
        <w:t>第十四条</w:t>
      </w:r>
      <w:r>
        <w:rPr>
          <w:rFonts w:hint="eastAsia"/>
        </w:rPr>
        <w:t xml:space="preserve">  孤岛的保护，应当保留自然状态、恢复生态系统。对区位、景观有明显优势的孤岛进行合理利用，应当依法严格管控。</w:t>
      </w:r>
    </w:p>
    <w:p>
      <w:pPr>
        <w:ind w:firstLine="640" w:firstLineChars="200"/>
        <w:rPr>
          <w:rFonts w:hint="eastAsia"/>
        </w:rPr>
      </w:pPr>
      <w:r>
        <w:rPr>
          <w:rFonts w:hint="eastAsia" w:eastAsia="方正黑体_GBK"/>
        </w:rPr>
        <w:t>第十五条</w:t>
      </w:r>
      <w:r>
        <w:rPr>
          <w:rFonts w:hint="eastAsia"/>
        </w:rPr>
        <w:t xml:space="preserve">  消落区内禁止下列行为：</w:t>
      </w:r>
    </w:p>
    <w:p>
      <w:pPr>
        <w:ind w:firstLine="640" w:firstLineChars="200"/>
        <w:rPr>
          <w:rFonts w:hint="eastAsia"/>
        </w:rPr>
      </w:pPr>
      <w:r>
        <w:rPr>
          <w:rFonts w:hint="eastAsia"/>
        </w:rPr>
        <w:t>（一）进行围垦，毁草开垦，种植阻碍行洪的林木和高秆作物；</w:t>
      </w:r>
    </w:p>
    <w:p>
      <w:pPr>
        <w:ind w:firstLine="640" w:firstLineChars="200"/>
        <w:rPr>
          <w:rFonts w:hint="eastAsia"/>
        </w:rPr>
      </w:pPr>
      <w:r>
        <w:rPr>
          <w:rFonts w:hint="eastAsia"/>
        </w:rPr>
        <w:t>（二）施用化肥、农药；</w:t>
      </w:r>
    </w:p>
    <w:p>
      <w:pPr>
        <w:ind w:firstLine="640" w:firstLineChars="200"/>
        <w:rPr>
          <w:rFonts w:hint="eastAsia"/>
        </w:rPr>
      </w:pPr>
      <w:r>
        <w:rPr>
          <w:rFonts w:hint="eastAsia"/>
        </w:rPr>
        <w:t>（三）倾倒、填埋、堆放、弃置、处理固体废物；</w:t>
      </w:r>
    </w:p>
    <w:p>
      <w:pPr>
        <w:ind w:firstLine="640" w:firstLineChars="200"/>
        <w:rPr>
          <w:rFonts w:hint="eastAsia"/>
        </w:rPr>
      </w:pPr>
      <w:r>
        <w:rPr>
          <w:rFonts w:hint="eastAsia"/>
        </w:rPr>
        <w:t>（四）排放超过国家或者本市规定排放标准的水污染物；</w:t>
      </w:r>
    </w:p>
    <w:p>
      <w:pPr>
        <w:ind w:firstLine="640" w:firstLineChars="200"/>
        <w:rPr>
          <w:rFonts w:hint="eastAsia"/>
        </w:rPr>
      </w:pPr>
      <w:r>
        <w:rPr>
          <w:rFonts w:hint="eastAsia"/>
        </w:rPr>
        <w:t>（五）在禁止采砂区和禁止采砂期从事采砂活动；</w:t>
      </w:r>
    </w:p>
    <w:p>
      <w:pPr>
        <w:ind w:firstLine="640" w:firstLineChars="200"/>
        <w:rPr>
          <w:rFonts w:hint="eastAsia"/>
        </w:rPr>
      </w:pPr>
      <w:r>
        <w:rPr>
          <w:rFonts w:hint="eastAsia"/>
        </w:rPr>
        <w:t>（六）法律、法规、规章规定的其他禁止行为。</w:t>
      </w:r>
    </w:p>
    <w:p>
      <w:pPr>
        <w:ind w:firstLine="640" w:firstLineChars="200"/>
        <w:rPr>
          <w:rFonts w:hint="eastAsia"/>
        </w:rPr>
      </w:pPr>
      <w:r>
        <w:rPr>
          <w:rFonts w:hint="eastAsia" w:eastAsia="方正黑体_GBK"/>
        </w:rPr>
        <w:t>第十六条</w:t>
      </w:r>
      <w:r>
        <w:rPr>
          <w:rFonts w:hint="eastAsia"/>
        </w:rPr>
        <w:t xml:space="preserve">  消落区的土地依法属于国家所有。任何单位和个人未经批准，不得擅自使用。确需在消落区建设跨河、穿河、穿堤、临河的桥梁、码头、道路、渡口、管道、缆线、取水、排水等项目，以及进行存放物料等活动，应当依法经有权机关批准。</w:t>
      </w:r>
    </w:p>
    <w:p>
      <w:pPr>
        <w:ind w:firstLine="640" w:firstLineChars="200"/>
        <w:rPr>
          <w:rFonts w:hint="eastAsia"/>
        </w:rPr>
      </w:pPr>
      <w:r>
        <w:rPr>
          <w:rFonts w:hint="eastAsia"/>
        </w:rPr>
        <w:t>建设项目经批准后，建设单位应当将施工安排告知所涉区县（自治县）水行政主管部门。</w:t>
      </w:r>
    </w:p>
    <w:p>
      <w:pPr>
        <w:ind w:firstLine="640" w:firstLineChars="200"/>
        <w:rPr>
          <w:rFonts w:hint="eastAsia"/>
        </w:rPr>
      </w:pPr>
      <w:r>
        <w:rPr>
          <w:rFonts w:hint="eastAsia" w:eastAsia="方正黑体_GBK"/>
        </w:rPr>
        <w:t xml:space="preserve">第十七条 </w:t>
      </w:r>
      <w:r>
        <w:rPr>
          <w:rFonts w:hint="eastAsia"/>
        </w:rPr>
        <w:t xml:space="preserve"> 使用消落区不得影响水库安全、防洪、发电和生态环境保护。</w:t>
      </w:r>
    </w:p>
    <w:p>
      <w:pPr>
        <w:ind w:firstLine="640" w:firstLineChars="200"/>
        <w:rPr>
          <w:rFonts w:hint="eastAsia"/>
        </w:rPr>
      </w:pPr>
      <w:r>
        <w:rPr>
          <w:rFonts w:hint="eastAsia" w:eastAsia="方正黑体_GBK"/>
        </w:rPr>
        <w:t xml:space="preserve">第十八条 </w:t>
      </w:r>
      <w:r>
        <w:rPr>
          <w:rFonts w:hint="eastAsia"/>
        </w:rPr>
        <w:t xml:space="preserve"> 市水行政主管部门应当会同规划自然资源、生态环境、住房城乡建设、城市管理、交通、农业农村、林业等有关部门，制定消落区修复规范。</w:t>
      </w:r>
    </w:p>
    <w:p>
      <w:pPr>
        <w:ind w:firstLine="640" w:firstLineChars="200"/>
        <w:rPr>
          <w:rFonts w:hint="eastAsia"/>
        </w:rPr>
      </w:pPr>
      <w:r>
        <w:rPr>
          <w:rFonts w:hint="eastAsia"/>
        </w:rPr>
        <w:t>消落区所涉区县（自治县）人民政府应当按照修复规范组织实施消落区修复相关事宜。</w:t>
      </w:r>
    </w:p>
    <w:p>
      <w:pPr>
        <w:ind w:firstLine="640" w:firstLineChars="200"/>
        <w:rPr>
          <w:rFonts w:hint="eastAsia"/>
        </w:rPr>
      </w:pPr>
      <w:r>
        <w:rPr>
          <w:rFonts w:hint="eastAsia" w:eastAsia="方正黑体_GBK"/>
        </w:rPr>
        <w:t>第十九条</w:t>
      </w:r>
      <w:r>
        <w:rPr>
          <w:rFonts w:hint="eastAsia"/>
        </w:rPr>
        <w:t xml:space="preserve">  建立健全消落区卫生防疫体系，制定完善消落区传染病疫情预防与控制、预警与应急处置、疫情收集与报告、检验与评价等制度，对消落区可能滋生病媒生物的区域进行卫生防疫处理，预防和控制传染病的发生、流行，保障人民群众身体健康。</w:t>
      </w:r>
    </w:p>
    <w:p>
      <w:pPr>
        <w:ind w:firstLine="640" w:firstLineChars="200"/>
        <w:rPr>
          <w:rFonts w:hint="eastAsia"/>
        </w:rPr>
      </w:pPr>
      <w:r>
        <w:rPr>
          <w:rFonts w:hint="eastAsia" w:eastAsia="方正黑体_GBK"/>
        </w:rPr>
        <w:t xml:space="preserve">第二十条 </w:t>
      </w:r>
      <w:r>
        <w:rPr>
          <w:rFonts w:hint="eastAsia"/>
        </w:rPr>
        <w:t xml:space="preserve"> 建立健全消落区清漂保洁长效机制，加强消落区清漂保洁，降低入库污染负荷和水面漂浮物数量。</w:t>
      </w:r>
    </w:p>
    <w:p>
      <w:pPr>
        <w:ind w:firstLine="640" w:firstLineChars="200"/>
        <w:rPr>
          <w:rFonts w:hint="eastAsia"/>
        </w:rPr>
      </w:pPr>
      <w:r>
        <w:rPr>
          <w:rFonts w:hint="eastAsia" w:eastAsia="方正黑体_GBK"/>
        </w:rPr>
        <w:t>第二十一条</w:t>
      </w:r>
      <w:r>
        <w:rPr>
          <w:rFonts w:hint="eastAsia"/>
        </w:rPr>
        <w:t xml:space="preserve">  水行政主管部门和规划自然资源、生态环境、城市管理、交通、农业农村、文化旅游、卫生健康、林业、地震等有关部门应当提升信息化、智慧化管理水平，按照各自职责，加强对消落区生态环境、水文水质、地质灾害、水土流失、泥沙淤积、文物保护、病媒生物、地震等状况的日常监测，并在部门、地域、层级间共享监测信息。</w:t>
      </w:r>
    </w:p>
    <w:p>
      <w:pPr>
        <w:ind w:firstLine="640" w:firstLineChars="200"/>
        <w:rPr>
          <w:rFonts w:hint="eastAsia"/>
        </w:rPr>
      </w:pPr>
      <w:r>
        <w:rPr>
          <w:rFonts w:hint="eastAsia" w:eastAsia="方正黑体_GBK"/>
        </w:rPr>
        <w:t>第二十二条</w:t>
      </w:r>
      <w:r>
        <w:rPr>
          <w:rFonts w:hint="eastAsia"/>
        </w:rPr>
        <w:t xml:space="preserve">  水行政主管部门和规划自然资源、生态环境、城市管理、交通、农业农村、卫生健康、林业等有关部门依法开展消落区执法，必要时开展联合执法，查处违法行为。</w:t>
      </w:r>
    </w:p>
    <w:p>
      <w:pPr>
        <w:ind w:firstLine="640" w:firstLineChars="200"/>
        <w:rPr>
          <w:rFonts w:hint="eastAsia"/>
        </w:rPr>
      </w:pPr>
      <w:r>
        <w:rPr>
          <w:rFonts w:hint="eastAsia" w:eastAsia="方正黑体_GBK"/>
        </w:rPr>
        <w:t>第二十三条</w:t>
      </w:r>
      <w:r>
        <w:rPr>
          <w:rFonts w:hint="eastAsia"/>
        </w:rPr>
        <w:t xml:space="preserve">  市水行政主管部门会同生态环境、林业等部门建立消落区保护和修复评估机制，对消落区的生态环境保护和修复开展定期评估。</w:t>
      </w:r>
    </w:p>
    <w:p>
      <w:pPr>
        <w:ind w:firstLine="640" w:firstLineChars="200"/>
        <w:rPr>
          <w:rFonts w:hint="eastAsia"/>
        </w:rPr>
      </w:pPr>
      <w:r>
        <w:rPr>
          <w:rFonts w:hint="eastAsia"/>
        </w:rPr>
        <w:t>定期评估应当充分听取专业机构和人员、社会公众的意见。</w:t>
      </w:r>
    </w:p>
    <w:p>
      <w:pPr>
        <w:ind w:firstLine="640" w:firstLineChars="200"/>
        <w:rPr>
          <w:rFonts w:hint="eastAsia"/>
        </w:rPr>
      </w:pPr>
      <w:r>
        <w:rPr>
          <w:rFonts w:hint="eastAsia"/>
        </w:rPr>
        <w:t>消落区所涉区县（自治县）人民政府应当根据评估结果，及时优化、调整消落区的分区管理和生态、工程措施。</w:t>
      </w:r>
    </w:p>
    <w:p>
      <w:pPr>
        <w:ind w:firstLine="640" w:firstLineChars="200"/>
        <w:rPr>
          <w:rFonts w:hint="eastAsia"/>
        </w:rPr>
      </w:pPr>
      <w:r>
        <w:rPr>
          <w:rFonts w:hint="eastAsia" w:eastAsia="方正黑体_GBK"/>
        </w:rPr>
        <w:t>第二十四条</w:t>
      </w:r>
      <w:r>
        <w:rPr>
          <w:rFonts w:hint="eastAsia"/>
        </w:rPr>
        <w:t xml:space="preserve">  公职人员在消落区管理中玩忽职守、滥用职权、徇私舞弊的，依法给予处分；构成犯罪的，依法追究刑事责任。</w:t>
      </w:r>
    </w:p>
    <w:p>
      <w:pPr>
        <w:ind w:firstLine="640" w:firstLineChars="200"/>
        <w:rPr>
          <w:rFonts w:hint="eastAsia"/>
        </w:rPr>
      </w:pPr>
      <w:r>
        <w:rPr>
          <w:rFonts w:hint="eastAsia" w:eastAsia="方正黑体_GBK"/>
        </w:rPr>
        <w:t>第二十五条</w:t>
      </w:r>
      <w:r>
        <w:rPr>
          <w:rFonts w:hint="eastAsia"/>
        </w:rPr>
        <w:t xml:space="preserve">  违反本办法第十五条、第十六条规定的，依照相关法律、法规、规章追究责任。</w:t>
      </w:r>
    </w:p>
    <w:p>
      <w:pPr>
        <w:ind w:firstLine="640" w:firstLineChars="200"/>
      </w:pPr>
      <w:r>
        <w:rPr>
          <w:rFonts w:hint="eastAsia" w:eastAsia="方正黑体_GBK"/>
        </w:rPr>
        <w:t>第二十六条</w:t>
      </w:r>
      <w:r>
        <w:rPr>
          <w:rFonts w:hint="eastAsia"/>
        </w:rPr>
        <w:t xml:space="preserve">  本办法自2023年5月1日起施行。《重庆市三</w:t>
      </w:r>
      <w:r>
        <w:rPr>
          <w:rFonts w:hint="eastAsia"/>
          <w:spacing w:val="-4"/>
        </w:rPr>
        <w:t>峡水库消落区管理暂行办法》（重庆市人民政府令第267号）同时</w:t>
      </w:r>
      <w:r>
        <w:rPr>
          <w:rFonts w:hint="eastAsia"/>
        </w:rPr>
        <w:t>废止。</w:t>
      </w:r>
    </w:p>
    <w:p>
      <w:pPr>
        <w:rPr>
          <w:rFonts w:hint="eastAsia"/>
          <w:lang w:val="en-US" w:eastAsia="zh-CN"/>
        </w:rPr>
      </w:pPr>
    </w:p>
    <w:p>
      <w:pPr>
        <w:rPr>
          <w:rFonts w:hint="eastAsia"/>
          <w:lang w:val="en-US" w:eastAsia="zh-CN"/>
        </w:rPr>
      </w:pPr>
    </w:p>
    <w:sectPr>
      <w:headerReference r:id="rId5" w:type="default"/>
      <w:footerReference r:id="rId6" w:type="default"/>
      <w:pgSz w:w="11906" w:h="16838"/>
      <w:pgMar w:top="1962" w:right="1474" w:bottom="1848" w:left="1587" w:header="851" w:footer="992" w:gutter="0"/>
      <w:pgBorders>
        <w:top w:val="none" w:sz="0" w:space="0"/>
        <w:left w:val="none" w:sz="0" w:space="0"/>
        <w:bottom w:val="none" w:sz="0" w:space="0"/>
        <w:right w:val="none" w:sz="0" w:space="0"/>
      </w:pgBorders>
      <w:pgNumType w:fmt="numberInDash"/>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both"/>
      <w:rPr>
        <w:rFonts w:hint="eastAsia" w:ascii="宋体" w:hAnsi="宋体" w:eastAsia="宋体" w:cs="宋体"/>
        <w:b/>
        <w:bCs/>
        <w:color w:val="005192"/>
        <w:sz w:val="28"/>
        <w:szCs w:val="44"/>
        <w:lang w:eastAsia="zh-CN"/>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51435</wp:posOffset>
              </wp:positionV>
              <wp:extent cx="1828800" cy="297815"/>
              <wp:effectExtent l="0" t="0" r="0" b="0"/>
              <wp:wrapNone/>
              <wp:docPr id="2" name="文本框 8"/>
              <wp:cNvGraphicFramePr/>
              <a:graphic xmlns:a="http://schemas.openxmlformats.org/drawingml/2006/main">
                <a:graphicData uri="http://schemas.microsoft.com/office/word/2010/wordprocessingShape">
                  <wps:wsp>
                    <wps:cNvSpPr txBox="1"/>
                    <wps:spPr>
                      <a:xfrm>
                        <a:off x="0" y="0"/>
                        <a:ext cx="1828800" cy="297815"/>
                      </a:xfrm>
                      <a:prstGeom prst="rect">
                        <a:avLst/>
                      </a:prstGeom>
                      <a:noFill/>
                      <a:ln w="6350">
                        <a:noFill/>
                      </a:ln>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vert="horz" wrap="none" lIns="0" tIns="0" rIns="0" bIns="0" anchor="t" anchorCtr="0" upright="0"/>
                  </wps:wsp>
                </a:graphicData>
              </a:graphic>
            </wp:anchor>
          </w:drawing>
        </mc:Choice>
        <mc:Fallback>
          <w:pict>
            <v:shape id="文本框 8" o:spid="_x0000_s1026" o:spt="202" type="#_x0000_t202" style="position:absolute;left:0pt;margin-top:4.05pt;height:23.45pt;width:144pt;mso-position-horizontal:outside;mso-position-horizontal-relative:margin;mso-wrap-style:none;z-index:251660288;mso-width-relative:page;mso-height-relative:page;" filled="f" stroked="f" coordsize="21600,21600" o:gfxdata="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3h1TJ1QAAAAUBAAAPAAAA&#10;AAAAAAEAIAAAACIAAABkcnMvZG93bnJldi54bWxQSwECFAAUAAAACACHTuJAvYCgP98BAACsAwAA&#10;DgAAAAAAAAABACAAAAAkAQAAZHJzL2Uyb0RvYy54bWxQSwUGAAAAAAYABgBZAQAAdQUAAAAA&#10;">
              <v:fill on="f" focussize="0,0"/>
              <v:stroke on="f" weight="0.5pt"/>
              <v:imagedata o:title=""/>
              <o:lock v:ext="edit" aspectratio="f"/>
              <v:textbox inset="0mm,0mm,0mm,0mm">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p>
    <w:pPr>
      <w:pStyle w:val="7"/>
      <w:jc w:val="both"/>
      <w:rPr>
        <w:rFonts w:hint="eastAsia" w:ascii="宋体" w:hAnsi="宋体" w:eastAsia="宋体" w:cs="宋体"/>
        <w:b/>
        <w:bCs/>
        <w:color w:val="005192"/>
        <w:sz w:val="28"/>
        <w:szCs w:val="44"/>
        <w:lang w:eastAsia="zh-CN"/>
      </w:rPr>
    </w:pPr>
    <w:r>
      <w:rPr>
        <w:sz w:val="28"/>
      </w:rPr>
      <mc:AlternateContent>
        <mc:Choice Requires="wps">
          <w:drawing>
            <wp:anchor distT="0" distB="0" distL="114300" distR="114300" simplePos="0" relativeHeight="251661312" behindDoc="0" locked="0" layoutInCell="1" allowOverlap="1">
              <wp:simplePos x="0" y="0"/>
              <wp:positionH relativeFrom="column">
                <wp:posOffset>15875</wp:posOffset>
              </wp:positionH>
              <wp:positionV relativeFrom="paragraph">
                <wp:posOffset>153670</wp:posOffset>
              </wp:positionV>
              <wp:extent cx="5553075" cy="635"/>
              <wp:effectExtent l="0" t="0" r="0" b="0"/>
              <wp:wrapNone/>
              <wp:docPr id="3" name="直线 5"/>
              <wp:cNvGraphicFramePr/>
              <a:graphic xmlns:a="http://schemas.openxmlformats.org/drawingml/2006/main">
                <a:graphicData uri="http://schemas.microsoft.com/office/word/2010/wordprocessingShape">
                  <wps:wsp>
                    <wps:cNvCnPr/>
                    <wps:spPr>
                      <a:xfrm>
                        <a:off x="0" y="0"/>
                        <a:ext cx="5553075" cy="635"/>
                      </a:xfrm>
                      <a:prstGeom prst="line">
                        <a:avLst/>
                      </a:prstGeom>
                      <a:ln w="19050" cap="flat" cmpd="sng">
                        <a:solidFill>
                          <a:srgbClr val="0070C0"/>
                        </a:solidFill>
                        <a:prstDash val="solid"/>
                        <a:headEnd type="none" w="med" len="med"/>
                        <a:tailEnd type="none" w="med" len="med"/>
                      </a:ln>
                    </wps:spPr>
                    <wps:bodyPr upright="1"/>
                  </wps:wsp>
                </a:graphicData>
              </a:graphic>
            </wp:anchor>
          </w:drawing>
        </mc:Choice>
        <mc:Fallback>
          <w:pict>
            <v:line id="直线 5" o:spid="_x0000_s1026" o:spt="20" style="position:absolute;left:0pt;margin-left:1.25pt;margin-top:12.1pt;height:0.05pt;width:437.25pt;z-index:251661312;mso-width-relative:page;mso-height-relative:page;" filled="f" stroked="t" coordsize="21600,21600" o:gfxdata="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y&#10;TjUg1gAAAAcBAAAPAAAAAAAAAAEAIAAAACIAAABkcnMvZG93bnJldi54bWxQSwECFAAUAAAACACH&#10;TuJA627bXO0BAADeAwAADgAAAAAAAAABACAAAAAlAQAAZHJzL2Uyb0RvYy54bWxQSwUGAAAAAAYA&#10;BgBZAQAAhAUAAAAA&#10;">
              <v:fill on="f" focussize="0,0"/>
              <v:stroke weight="1.5pt" color="#0070C0" joinstyle="round"/>
              <v:imagedata o:title=""/>
              <o:lock v:ext="edit" aspectratio="f"/>
            </v:line>
          </w:pict>
        </mc:Fallback>
      </mc:AlternateContent>
    </w:r>
  </w:p>
  <w:p>
    <w:pPr>
      <w:pStyle w:val="7"/>
      <w:wordWrap w:val="0"/>
      <w:jc w:val="both"/>
      <w:rPr>
        <w:rFonts w:hint="eastAsia" w:ascii="宋体" w:hAnsi="宋体" w:eastAsia="宋体" w:cs="宋体"/>
        <w:b/>
        <w:bCs/>
        <w:color w:val="005192"/>
        <w:sz w:val="10"/>
        <w:szCs w:val="10"/>
        <w:lang w:eastAsia="zh-CN"/>
      </w:rPr>
    </w:pPr>
  </w:p>
  <w:p>
    <w:pPr>
      <w:pStyle w:val="7"/>
      <w:wordWrap w:val="0"/>
      <w:jc w:val="right"/>
      <w:rPr>
        <w:rFonts w:hint="eastAsia" w:ascii="宋体" w:hAnsi="宋体" w:eastAsia="宋体" w:cs="宋体"/>
        <w:b/>
        <w:bCs/>
        <w:color w:val="005192"/>
        <w:sz w:val="28"/>
        <w:szCs w:val="44"/>
        <w:lang w:val="en-US" w:eastAsia="zh-CN"/>
      </w:rPr>
    </w:pPr>
    <w:r>
      <w:rPr>
        <w:rFonts w:hint="eastAsia" w:ascii="宋体" w:hAnsi="宋体" w:eastAsia="宋体" w:cs="宋体"/>
        <w:b/>
        <w:bCs/>
        <w:color w:val="0070C0"/>
        <w:sz w:val="28"/>
        <w:szCs w:val="44"/>
        <w:lang w:eastAsia="zh-CN"/>
      </w:rPr>
      <w:t>重庆市人民政府发布</w:t>
    </w:r>
    <w:r>
      <w:rPr>
        <w:rFonts w:hint="eastAsia" w:ascii="宋体" w:hAnsi="宋体" w:eastAsia="宋体" w:cs="宋体"/>
        <w:b/>
        <w:bCs/>
        <w:color w:val="005192"/>
        <w:sz w:val="28"/>
        <w:szCs w:val="44"/>
        <w:lang w:val="en-US" w:eastAsia="zh-CN"/>
      </w:rPr>
      <w:t xml:space="preserve">    </w:t>
    </w:r>
  </w:p>
  <w:p>
    <w:pPr>
      <w:pStyle w:val="6"/>
      <w:wordWrap/>
      <w:rPr>
        <w:rFonts w:hint="default"/>
        <w:lang w:val="en-US"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方正仿宋_GBK" w:hAnsi="方正仿宋_GBK" w:eastAsia="方正仿宋_GBK" w:cs="方正仿宋_GBK"/>
        <w:b/>
        <w:bCs/>
        <w:color w:val="000000"/>
        <w:sz w:val="32"/>
        <w:lang w:val="en-US" w:eastAsia="zh-CN"/>
      </w:rPr>
    </w:pPr>
    <w:r>
      <w:rPr>
        <w:rFonts w:hint="eastAsia" w:ascii="方正仿宋_GBK" w:hAnsi="方正仿宋_GBK" w:eastAsia="方正仿宋_GBK" w:cs="方正仿宋_GBK"/>
        <w:b/>
        <w:bCs/>
        <w:color w:val="000000"/>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690245</wp:posOffset>
              </wp:positionV>
              <wp:extent cx="5620385" cy="0"/>
              <wp:effectExtent l="0" t="10795" r="18415" b="17780"/>
              <wp:wrapNone/>
              <wp:docPr id="1" name="直接连接符 4"/>
              <wp:cNvGraphicFramePr/>
              <a:graphic xmlns:a="http://schemas.openxmlformats.org/drawingml/2006/main">
                <a:graphicData uri="http://schemas.microsoft.com/office/word/2010/wordprocessingShape">
                  <wps:wsp>
                    <wps:cNvCnPr/>
                    <wps:spPr>
                      <a:xfrm>
                        <a:off x="0" y="0"/>
                        <a:ext cx="5620385" cy="0"/>
                      </a:xfrm>
                      <a:prstGeom prst="line">
                        <a:avLst/>
                      </a:prstGeom>
                      <a:ln w="22225" cap="flat" cmpd="sng">
                        <a:solidFill>
                          <a:srgbClr val="0070C0"/>
                        </a:solidFill>
                        <a:prstDash val="solid"/>
                        <a:miter/>
                        <a:headEnd type="none" w="med" len="med"/>
                        <a:tailEnd type="none" w="med" len="med"/>
                      </a:ln>
                    </wps:spPr>
                    <wps:bodyPr/>
                  </wps:wsp>
                </a:graphicData>
              </a:graphic>
            </wp:anchor>
          </w:drawing>
        </mc:Choice>
        <mc:Fallback>
          <w:pict>
            <v:line id="直接连接符 4" o:spid="_x0000_s1026" o:spt="20" style="position:absolute;left:0pt;margin-left:0pt;margin-top:54.35pt;height:0pt;width:442.55pt;z-index:251659264;mso-width-relative:page;mso-height-relative:page;" filled="f" stroked="t" coordsize="21600,21600" o:gfxdata="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PHthVdIAAAAIAQAADwAAAAAAAAABACAAAAAiAAAAZHJzL2Rvd25yZXYueG1sUEsBAhQAFAAAAAgA&#10;h07iQOem2VvyAQAA4wMAAA4AAAAAAAAAAQAgAAAAIQEAAGRycy9lMm9Eb2MueG1sUEsFBgAAAAAG&#10;AAYAWQEAAIUFAAAAAA==&#10;">
              <v:fill on="f" focussize="0,0"/>
              <v:stroke weight="1.75pt" color="#0070C0"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jc w:val="left"/>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4"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descr="国徽1024"/>
                  <pic:cNvPicPr>
                    <a:picLocks noChangeAspect="1"/>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val="en-US" w:eastAsia="zh-CN"/>
      </w:rPr>
      <w:t>重庆市人民政府规章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wMjBkMDRmYjAxZGEyYjQ5N2Y3MTMwZWU5MjM5YjIifQ=="/>
  </w:docVars>
  <w:rsids>
    <w:rsidRoot w:val="00172A27"/>
    <w:rsid w:val="019E71BD"/>
    <w:rsid w:val="03B22217"/>
    <w:rsid w:val="041C42DA"/>
    <w:rsid w:val="04B679C3"/>
    <w:rsid w:val="05F07036"/>
    <w:rsid w:val="064E7294"/>
    <w:rsid w:val="06E00104"/>
    <w:rsid w:val="080F63D8"/>
    <w:rsid w:val="09341458"/>
    <w:rsid w:val="098254C2"/>
    <w:rsid w:val="0A766EDE"/>
    <w:rsid w:val="0AD64BE8"/>
    <w:rsid w:val="0B0912D7"/>
    <w:rsid w:val="0C425FB0"/>
    <w:rsid w:val="0E025194"/>
    <w:rsid w:val="0F303700"/>
    <w:rsid w:val="152D2DCA"/>
    <w:rsid w:val="15D5325E"/>
    <w:rsid w:val="17220C1F"/>
    <w:rsid w:val="187168EA"/>
    <w:rsid w:val="19222AC1"/>
    <w:rsid w:val="196673CA"/>
    <w:rsid w:val="1B2F4AEE"/>
    <w:rsid w:val="1C3B5737"/>
    <w:rsid w:val="1CF734C9"/>
    <w:rsid w:val="1D5561CE"/>
    <w:rsid w:val="1DEC284C"/>
    <w:rsid w:val="1E6523AC"/>
    <w:rsid w:val="22440422"/>
    <w:rsid w:val="22BB4BBB"/>
    <w:rsid w:val="25DE7970"/>
    <w:rsid w:val="2AEB3417"/>
    <w:rsid w:val="2D502E74"/>
    <w:rsid w:val="31A15F24"/>
    <w:rsid w:val="324A1681"/>
    <w:rsid w:val="36FB1DF0"/>
    <w:rsid w:val="395347B5"/>
    <w:rsid w:val="39A232A0"/>
    <w:rsid w:val="39E745AA"/>
    <w:rsid w:val="3B5A6BBB"/>
    <w:rsid w:val="3E2E249C"/>
    <w:rsid w:val="3E7A6434"/>
    <w:rsid w:val="3EDA13A6"/>
    <w:rsid w:val="40014EA0"/>
    <w:rsid w:val="413F1F07"/>
    <w:rsid w:val="417B75E9"/>
    <w:rsid w:val="42F058B7"/>
    <w:rsid w:val="42F334A6"/>
    <w:rsid w:val="436109F6"/>
    <w:rsid w:val="441A38D4"/>
    <w:rsid w:val="4504239D"/>
    <w:rsid w:val="450B05EB"/>
    <w:rsid w:val="4BC77339"/>
    <w:rsid w:val="4C9236C5"/>
    <w:rsid w:val="4DF06838"/>
    <w:rsid w:val="4E250A85"/>
    <w:rsid w:val="4FFD4925"/>
    <w:rsid w:val="505C172E"/>
    <w:rsid w:val="506405EA"/>
    <w:rsid w:val="50827473"/>
    <w:rsid w:val="52443849"/>
    <w:rsid w:val="52511493"/>
    <w:rsid w:val="52F46F0B"/>
    <w:rsid w:val="532B6A10"/>
    <w:rsid w:val="53D8014D"/>
    <w:rsid w:val="55003B4B"/>
    <w:rsid w:val="55E064E0"/>
    <w:rsid w:val="572C6D10"/>
    <w:rsid w:val="5DC34279"/>
    <w:rsid w:val="5FC61C6D"/>
    <w:rsid w:val="5FCD688E"/>
    <w:rsid w:val="5FF9BDAA"/>
    <w:rsid w:val="5FFE5333"/>
    <w:rsid w:val="603161C9"/>
    <w:rsid w:val="608816D1"/>
    <w:rsid w:val="60EF4E7F"/>
    <w:rsid w:val="648B0A32"/>
    <w:rsid w:val="665233C1"/>
    <w:rsid w:val="69AC0D42"/>
    <w:rsid w:val="6AD9688B"/>
    <w:rsid w:val="6D0E3F22"/>
    <w:rsid w:val="744E4660"/>
    <w:rsid w:val="753355A2"/>
    <w:rsid w:val="759F1C61"/>
    <w:rsid w:val="769F2DE8"/>
    <w:rsid w:val="76FDEB7C"/>
    <w:rsid w:val="79C65162"/>
    <w:rsid w:val="7C41577F"/>
    <w:rsid w:val="7C9011D9"/>
    <w:rsid w:val="7DC651C5"/>
    <w:rsid w:val="7DF350ED"/>
    <w:rsid w:val="7F9DA0E8"/>
    <w:rsid w:val="7FCC2834"/>
    <w:rsid w:val="7FF6A4EF"/>
    <w:rsid w:val="92DD1CEF"/>
    <w:rsid w:val="F05B4F69"/>
    <w:rsid w:val="F97D9566"/>
    <w:rsid w:val="FDFF411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textAlignment w:val="baseline"/>
    </w:pPr>
    <w:rPr>
      <w:rFonts w:ascii="Times New Roman" w:hAnsi="Times New Roman" w:eastAsia="方正仿宋_GBK" w:cs="Times New Roman"/>
      <w:sz w:val="32"/>
      <w:szCs w:val="32"/>
      <w:lang w:val="en-US" w:eastAsia="zh-CN" w:bidi="ar-SA"/>
    </w:rPr>
  </w:style>
  <w:style w:type="paragraph" w:styleId="4">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10">
    <w:name w:val="Default Paragraph Font"/>
    <w:link w:val="11"/>
    <w:semiHidden/>
    <w:qFormat/>
    <w:uiPriority w:val="0"/>
    <w:rPr>
      <w:rFonts w:ascii="Calibri" w:hAnsi="Calibri"/>
      <w:szCs w:val="24"/>
    </w:rPr>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Lines="0" w:afterAutospacing="0"/>
    </w:pPr>
  </w:style>
  <w:style w:type="paragraph" w:styleId="3">
    <w:name w:val="Body Text First Indent"/>
    <w:basedOn w:val="2"/>
    <w:qFormat/>
    <w:uiPriority w:val="0"/>
    <w:pPr>
      <w:spacing w:after="160"/>
      <w:ind w:firstLine="420" w:firstLineChars="100"/>
    </w:p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next w:val="6"/>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right"/>
      <w:outlineLvl w:val="9"/>
    </w:pPr>
    <w:rPr>
      <w:sz w:val="2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11">
    <w:name w:val="默认段落字体 Para Char Char Char Char Char Char Char Char Char Char Char Char"/>
    <w:basedOn w:val="1"/>
    <w:link w:val="10"/>
    <w:qFormat/>
    <w:uiPriority w:val="0"/>
    <w:pPr>
      <w:tabs>
        <w:tab w:val="right" w:pos="-2120"/>
      </w:tabs>
      <w:snapToGrid w:val="0"/>
    </w:pPr>
    <w:rPr>
      <w:rFonts w:ascii="Calibri" w:hAnsi="Calibri"/>
      <w:szCs w:val="24"/>
    </w:rPr>
  </w:style>
  <w:style w:type="character" w:styleId="12">
    <w:name w:val="Strong"/>
    <w:basedOn w:val="10"/>
    <w:qFormat/>
    <w:uiPriority w:val="0"/>
    <w:rPr>
      <w:b/>
      <w:bCs/>
    </w:rPr>
  </w:style>
  <w:style w:type="character" w:styleId="13">
    <w:name w:val="page number"/>
    <w:basedOn w:val="10"/>
    <w:qFormat/>
    <w:uiPriority w:val="0"/>
  </w:style>
  <w:style w:type="paragraph" w:customStyle="1" w:styleId="14">
    <w:name w:val="Normal (Web)"/>
    <w:basedOn w:val="1"/>
    <w:qFormat/>
    <w:uiPriority w:val="0"/>
    <w:pPr>
      <w:jc w:val="left"/>
    </w:pPr>
    <w:rPr>
      <w:rFonts w:ascii="Calibri" w:hAnsi="Calibri"/>
      <w:kern w:val="0"/>
      <w:sz w:val="24"/>
      <w:szCs w:val="24"/>
    </w:rPr>
  </w:style>
  <w:style w:type="paragraph" w:customStyle="1" w:styleId="15">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2980</Words>
  <Characters>3020</Characters>
  <Lines>1</Lines>
  <Paragraphs>1</Paragraphs>
  <TotalTime>0</TotalTime>
  <ScaleCrop>false</ScaleCrop>
  <LinksUpToDate>false</LinksUpToDate>
  <CharactersWithSpaces>3081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2021-09-11T02:41:00Z</dcterms:created>
  <dc:creator>t</dc:creator>
  <cp:lastModifiedBy>嘿呀</cp:lastModifiedBy>
  <cp:lastPrinted>2022-05-12T00:46:00Z</cp:lastPrinted>
  <dcterms:modified xsi:type="dcterms:W3CDTF">2023-02-17T02:08:42Z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9E0EEEFBF40048A4B80D1FEC906C8968</vt:lpwstr>
  </property>
</Properties>
</file>